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8B" w:rsidRDefault="000F1CF7">
      <w:pPr>
        <w:rPr>
          <w:rFonts w:ascii="黑体" w:eastAsia="黑体" w:hAnsi="黑体" w:cs="黑体"/>
        </w:rPr>
      </w:pPr>
      <w:r>
        <w:rPr>
          <w:rFonts w:ascii="黑体" w:eastAsia="黑体" w:hAnsi="黑体" w:cs="黑体" w:hint="eastAsia"/>
        </w:rPr>
        <w:t>附件</w:t>
      </w:r>
      <w:r>
        <w:rPr>
          <w:rFonts w:ascii="黑体" w:eastAsia="黑体" w:hAnsi="黑体" w:cs="黑体"/>
        </w:rPr>
        <w:t>4</w:t>
      </w:r>
    </w:p>
    <w:p w:rsidR="007D5B8B" w:rsidRDefault="000F1CF7">
      <w:pPr>
        <w:spacing w:before="240" w:after="240" w:line="600" w:lineRule="exact"/>
        <w:jc w:val="center"/>
        <w:rPr>
          <w:rFonts w:ascii="方正小标宋简体" w:eastAsia="方正小标宋简体" w:hAnsi="宋体"/>
          <w:sz w:val="48"/>
          <w:szCs w:val="48"/>
        </w:rPr>
      </w:pPr>
      <w:bookmarkStart w:id="0" w:name="_GoBack"/>
      <w:r>
        <w:rPr>
          <w:rFonts w:ascii="方正小标宋简体" w:eastAsia="方正小标宋简体" w:hAnsi="宋体" w:cs="方正小标宋简体" w:hint="eastAsia"/>
          <w:sz w:val="48"/>
          <w:szCs w:val="48"/>
        </w:rPr>
        <w:t>内江市科技项目申报汇总表</w:t>
      </w:r>
    </w:p>
    <w:tbl>
      <w:tblPr>
        <w:tblW w:w="5000" w:type="pct"/>
        <w:tblCellMar>
          <w:left w:w="0" w:type="dxa"/>
          <w:right w:w="0" w:type="dxa"/>
        </w:tblCellMar>
        <w:tblLook w:val="04A0" w:firstRow="1" w:lastRow="0" w:firstColumn="1" w:lastColumn="0" w:noHBand="0" w:noVBand="1"/>
      </w:tblPr>
      <w:tblGrid>
        <w:gridCol w:w="418"/>
        <w:gridCol w:w="749"/>
        <w:gridCol w:w="1562"/>
        <w:gridCol w:w="1108"/>
        <w:gridCol w:w="5685"/>
        <w:gridCol w:w="1150"/>
        <w:gridCol w:w="955"/>
        <w:gridCol w:w="1142"/>
        <w:gridCol w:w="1151"/>
      </w:tblGrid>
      <w:tr w:rsidR="007D5B8B" w:rsidTr="005547AD">
        <w:trPr>
          <w:trHeight w:val="27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bookmarkEnd w:id="0"/>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序号</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领域</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项目名称</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技术水平</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主要内容及经济指标</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起止年限</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承担单位</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主管单位</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项目类型</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电子信息</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档案整理及数字化加工运用</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国内先进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Style w:val="font11"/>
                <w:rFonts w:hint="default"/>
                <w:sz w:val="16"/>
                <w:szCs w:val="16"/>
              </w:rPr>
              <w:t>主要内容:通过对档案整理相关法律法规的学习和理解，运用物联网技术将档案进行加工，使存储更方便、数据传递更快捷、减少政府在档案场地、保管、人员等方面的投入。</w:t>
            </w:r>
            <w:r>
              <w:rPr>
                <w:rStyle w:val="font21"/>
                <w:rFonts w:hint="default"/>
                <w:sz w:val="16"/>
                <w:szCs w:val="16"/>
              </w:rPr>
              <w:t>经济指标:</w:t>
            </w:r>
            <w:r>
              <w:rPr>
                <w:rStyle w:val="font11"/>
                <w:rFonts w:hint="default"/>
                <w:sz w:val="16"/>
                <w:szCs w:val="16"/>
              </w:rPr>
              <w:t>1.国家按照相关的流程进行档案人员的培训需要3-5年，通过我们的系统和加工软件，人员培训一般在1-3个月内完成，按照一般高校的培养周期和经费，完成1名档案人员的培训可为社会节约资金9600元，目前我公司已完成对20名在校大学生的培训工作，约节约资金19.2万元。2.我公司档案系统研发成功，在实际运用中也取得了很好的口碑，现在目前单机版档案系统售价为4500元人民币，网络版售价为16800元。就内江市场的需求预计单机版达到100套，网络版20套，市场价值约合人民币78.6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四川瑞哲信息科技有限公司</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东兴区经信局</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科技支撑计划</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7D5B8B">
            <w:pPr>
              <w:widowControl/>
              <w:spacing w:line="240" w:lineRule="exact"/>
              <w:jc w:val="right"/>
              <w:textAlignment w:val="center"/>
              <w:rPr>
                <w:rFonts w:ascii="宋体" w:eastAsia="宋体" w:hAnsi="宋体" w:cs="宋体"/>
                <w:color w:val="000000"/>
                <w:kern w:val="0"/>
                <w:sz w:val="16"/>
                <w:szCs w:val="16"/>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高端装备制造</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改性再生聚苯乙烯管材专用料及管材成型工艺的产业示范化</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国内    先进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内容：1、改性再生聚苯乙烯管材专用料的配方创新设计。2、改性再生聚苯乙烯管材专用料的制备工艺创新。3、改性再生聚苯乙烯管材专用料样品的研制。4、改性再生聚苯乙烯管材专用料的力学性能测试。5、改性再生聚苯乙烯管材专用料的结构表征。6、改性再生聚苯乙烯管材成型工艺的产业化。7、改性再生聚苯乙烯管材专用料和管材制备机理。</w:t>
            </w:r>
            <w:r>
              <w:rPr>
                <w:rFonts w:ascii="宋体" w:eastAsia="宋体" w:hAnsi="宋体" w:cs="宋体" w:hint="eastAsia"/>
                <w:b/>
                <w:color w:val="000000"/>
                <w:kern w:val="0"/>
                <w:sz w:val="16"/>
                <w:szCs w:val="16"/>
              </w:rPr>
              <w:t>经济指标：</w:t>
            </w:r>
            <w:r>
              <w:rPr>
                <w:rFonts w:ascii="宋体" w:eastAsia="宋体" w:hAnsi="宋体" w:cs="宋体" w:hint="eastAsia"/>
                <w:color w:val="000000"/>
                <w:kern w:val="0"/>
                <w:sz w:val="16"/>
                <w:szCs w:val="16"/>
              </w:rPr>
              <w:t>公司拟于2019年3月~2020年12月，预计总投资300万元，结合公司现有生产工艺设备条件和地处四川西南再生资源产业园优势，实施聚苯乙烯管材专用料成果产业化项目。项目执行期实现销售收入2000万元，利税200万元，新申请发明专利2项。项目属资源循环利用，节能环保显著，年可节约石油消耗5万吨，节约标准煤1.1万吨，节电500万千瓦时。2020年达年产形成再生聚苯乙烯管材2万米的生产能力，实现销售收入6000万元，利税600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四川塑金科技有限公司</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东兴区经信局</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科技成果转化</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7D5B8B">
            <w:pPr>
              <w:widowControl/>
              <w:spacing w:line="240" w:lineRule="exact"/>
              <w:jc w:val="right"/>
              <w:textAlignment w:val="center"/>
              <w:rPr>
                <w:rFonts w:ascii="宋体" w:eastAsia="宋体" w:hAnsi="宋体" w:cs="宋体"/>
                <w:color w:val="000000"/>
                <w:kern w:val="0"/>
                <w:sz w:val="16"/>
                <w:szCs w:val="16"/>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高效农业与食品精深加工</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池塘内循环养殖技术研究</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引进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内容：本项目通过利用“内循环养殖模式”，将传统“以水养鱼”模式转变为“以鱼养水“模式，有效降低对水体污染。变废为宝，将异常所沉积下的残饵、粪便单独排出，用于农田灌溉。废物利用的同时极大的降低对环境的危害。把传统养殖中病害风险降到最低，从而减少药物的头尾达到安全的食品标准。经济指标：预计项目实施后，科形成水产养殖技术1套，示范推广鱼塘40亩。以40亩鱼塘为例：传统养殖每亩产量2000斤左右，总计出鱼8万斤.改为循环池喂养，可建立5条循环槽，每条槽3万斤，总计出鱼12万斤。按市价每斤6元技术可收入72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内江市云旗养殖专业合作社</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东兴区经信局</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科技成果转化</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7D5B8B">
            <w:pPr>
              <w:widowControl/>
              <w:spacing w:line="240" w:lineRule="exact"/>
              <w:jc w:val="right"/>
              <w:textAlignment w:val="center"/>
              <w:rPr>
                <w:rFonts w:ascii="宋体" w:eastAsia="宋体" w:hAnsi="宋体" w:cs="宋体"/>
                <w:color w:val="000000"/>
                <w:kern w:val="0"/>
                <w:sz w:val="16"/>
                <w:szCs w:val="16"/>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节能环保与新材料</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镁-铝基复合纳米材料的研发及其吸附性能研究</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重大改进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主要内容：1.镁-铝氧化物纳米片的制备。2.镁-铝氧化物/氮掺杂碳复合纳米材料制备。3.镁-铝氧化物/氮掺杂碳复合纳米材料的吸附-光催化性能。</w:t>
            </w:r>
            <w:r>
              <w:rPr>
                <w:rFonts w:ascii="宋体" w:eastAsia="宋体" w:hAnsi="宋体" w:cs="宋体" w:hint="eastAsia"/>
                <w:b/>
                <w:color w:val="000000"/>
                <w:kern w:val="0"/>
                <w:sz w:val="16"/>
                <w:szCs w:val="16"/>
              </w:rPr>
              <w:t>经济指标：</w:t>
            </w:r>
            <w:r>
              <w:rPr>
                <w:rFonts w:ascii="宋体" w:eastAsia="宋体" w:hAnsi="宋体" w:cs="宋体" w:hint="eastAsia"/>
                <w:color w:val="000000"/>
                <w:kern w:val="0"/>
                <w:sz w:val="16"/>
                <w:szCs w:val="16"/>
              </w:rPr>
              <w:t>以生产能力1000吨/年镁铝氧化物/氮掺杂碳复合纳米材料计算，成本价格为8000元/吨，市场价格11500元/吨，毛利润3500元/吨；故年增产值350万元，年增税收59.5万元，年增利润290.5万元。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内江师院资产经营有限责任公司</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东兴区经信局</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科技成果转化</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7D5B8B">
            <w:pPr>
              <w:widowControl/>
              <w:spacing w:line="240" w:lineRule="exact"/>
              <w:jc w:val="right"/>
              <w:textAlignment w:val="center"/>
              <w:rPr>
                <w:rFonts w:ascii="宋体" w:eastAsia="宋体" w:hAnsi="宋体" w:cs="宋体"/>
                <w:color w:val="000000"/>
                <w:kern w:val="0"/>
                <w:sz w:val="16"/>
                <w:szCs w:val="16"/>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社会发展</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参曲健脾颗粒治疗慢性萎缩性胃炎疗效观察</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国内先进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符合临床治疗标准的慢性萎缩性胃炎患者，按1：1的比例，随机分为A组、B组：A）参曲健脾颗粒组，口服，每日3次B）安慰剂，口服，每日3次，疗程共12周，观察中医证候改善情况及胃镜病理改善情况</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内江市中医医院</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市卫健委</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科技成果转化</w:t>
            </w:r>
          </w:p>
        </w:tc>
      </w:tr>
      <w:tr w:rsidR="007D5B8B" w:rsidTr="005547AD">
        <w:trPr>
          <w:trHeight w:val="1920"/>
        </w:trPr>
        <w:tc>
          <w:tcPr>
            <w:tcW w:w="1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7D5B8B">
            <w:pPr>
              <w:widowControl/>
              <w:spacing w:line="240" w:lineRule="exact"/>
              <w:jc w:val="right"/>
              <w:textAlignment w:val="center"/>
              <w:rPr>
                <w:rFonts w:ascii="宋体" w:eastAsia="宋体" w:hAnsi="宋体" w:cs="宋体"/>
                <w:color w:val="000000"/>
                <w:kern w:val="0"/>
                <w:sz w:val="16"/>
                <w:szCs w:val="16"/>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生物医药</w:t>
            </w: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枳壳良种繁育技术提升及规范化种植示范项目</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国内先进</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主要内容</w:t>
            </w:r>
            <w:r>
              <w:rPr>
                <w:rFonts w:ascii="宋体" w:eastAsia="宋体" w:hAnsi="宋体" w:cs="宋体" w:hint="eastAsia"/>
                <w:b/>
                <w:color w:val="000000"/>
                <w:kern w:val="0"/>
                <w:sz w:val="16"/>
                <w:szCs w:val="16"/>
              </w:rPr>
              <w:t xml:space="preserve"> ：</w:t>
            </w:r>
            <w:r>
              <w:rPr>
                <w:rFonts w:ascii="宋体" w:eastAsia="宋体" w:hAnsi="宋体" w:cs="宋体" w:hint="eastAsia"/>
                <w:color w:val="000000"/>
                <w:kern w:val="0"/>
                <w:sz w:val="16"/>
                <w:szCs w:val="16"/>
              </w:rPr>
              <w:t xml:space="preserve">1.开展枳壳良种种苗繁育技术研究，扩大优质种苗繁育基地并建设示范基地；2.开展枳壳规范化种植技术完善研究，形成完整的种植技术规范，为枳壳GAP认证提供技术支撑；3.拟结合栽培学、育种学、分子生物学、中药鉴定学、中药学等多学科的方法开展枳壳良种繁育技术提升及规范化种植示范研究。  </w:t>
            </w:r>
            <w:r>
              <w:rPr>
                <w:rFonts w:ascii="宋体" w:eastAsia="宋体" w:hAnsi="宋体" w:cs="宋体" w:hint="eastAsia"/>
                <w:b/>
                <w:color w:val="000000"/>
                <w:kern w:val="0"/>
                <w:sz w:val="16"/>
                <w:szCs w:val="16"/>
              </w:rPr>
              <w:t>经济指标：</w:t>
            </w:r>
            <w:r>
              <w:rPr>
                <w:rFonts w:ascii="宋体" w:eastAsia="宋体" w:hAnsi="宋体" w:cs="宋体" w:hint="eastAsia"/>
                <w:color w:val="000000"/>
                <w:kern w:val="0"/>
                <w:sz w:val="16"/>
                <w:szCs w:val="16"/>
              </w:rPr>
              <w:t>1.在东兴区石子镇车星村建立优质种苗繁育基地300亩，枳壳种规范化种植基地3000亩，年产枳壳药材2000吨，枳壳药材及系列产品产值4000万元；2.完成对枳壳良种育苗技术研究，建立枳壳种子（种苗）质量标准；制订枳壳良种繁育技术规范或标准；制订枳壳规范化种植示范的技术规范或标准，并统一形成报告。</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2019.1-2020.12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四川涪丰药业有限公司</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东兴区经信局</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B8B" w:rsidRDefault="000F1CF7">
            <w:pPr>
              <w:widowControl/>
              <w:spacing w:line="24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科技成果转化</w:t>
            </w:r>
          </w:p>
        </w:tc>
      </w:tr>
    </w:tbl>
    <w:p w:rsidR="007D5B8B" w:rsidRDefault="000F1CF7">
      <w:r>
        <w:rPr>
          <w:rFonts w:cs="仿宋_GB2312" w:hint="eastAsia"/>
        </w:rPr>
        <w:t>注：未按要求提交项目申报汇总表纸质件及电子档，申报项目无效。</w:t>
      </w:r>
    </w:p>
    <w:sectPr w:rsidR="007D5B8B" w:rsidSect="005547AD">
      <w:footerReference w:type="default" r:id="rId8"/>
      <w:pgSz w:w="16838" w:h="11906" w:orient="landscape"/>
      <w:pgMar w:top="1701" w:right="1474" w:bottom="1531" w:left="1474" w:header="851" w:footer="1134" w:gutter="0"/>
      <w:pgNumType w:fmt="numberInDash" w:start="1"/>
      <w:cols w:space="720"/>
      <w:docGrid w:type="lines" w:linePitch="6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DA" w:rsidRDefault="00507CDA" w:rsidP="007D5B8B">
      <w:r>
        <w:separator/>
      </w:r>
    </w:p>
  </w:endnote>
  <w:endnote w:type="continuationSeparator" w:id="0">
    <w:p w:rsidR="00507CDA" w:rsidRDefault="00507CDA" w:rsidP="007D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8B" w:rsidRDefault="00A07CD5">
    <w:pPr>
      <w:pStyle w:val="a5"/>
      <w:tabs>
        <w:tab w:val="clear" w:pos="4153"/>
        <w:tab w:val="center" w:pos="4337"/>
      </w:tabs>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90500" cy="365125"/>
              <wp:effectExtent l="0" t="0" r="12700" b="952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365125"/>
                      </a:xfrm>
                      <a:prstGeom prst="rect">
                        <a:avLst/>
                      </a:prstGeom>
                      <a:noFill/>
                      <a:ln w="6350">
                        <a:noFill/>
                      </a:ln>
                      <a:effectLst/>
                    </wps:spPr>
                    <wps:txbx>
                      <w:txbxContent>
                        <w:p w:rsidR="007D5B8B" w:rsidRDefault="007D5B8B">
                          <w:pPr>
                            <w:pStyle w:val="a5"/>
                          </w:pPr>
                          <w:r>
                            <w:fldChar w:fldCharType="begin"/>
                          </w:r>
                          <w:r w:rsidR="000F1CF7">
                            <w:instrText xml:space="preserve"> PAGE   \* MERGEFORMAT </w:instrText>
                          </w:r>
                          <w:r>
                            <w:fldChar w:fldCharType="separate"/>
                          </w:r>
                          <w:r w:rsidR="00A07CD5">
                            <w:rPr>
                              <w:noProof/>
                            </w:rPr>
                            <w:t>- 1 -</w:t>
                          </w:r>
                          <w:r>
                            <w:fldChar w:fldCharType="end"/>
                          </w:r>
                        </w:p>
                        <w:p w:rsidR="007D5B8B" w:rsidRDefault="007D5B8B"/>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6.2pt;margin-top:0;width:15pt;height:28.7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" filled="f" stroked="f" strokeweight=".5pt">
              <v:path arrowok="t"/>
              <v:textbox style="mso-fit-shape-to-text:t" inset="0,0,0,0">
                <w:txbxContent>
                  <w:p w:rsidR="007D5B8B" w:rsidRDefault="007D5B8B">
                    <w:pPr>
                      <w:pStyle w:val="a5"/>
                    </w:pPr>
                    <w:r>
                      <w:fldChar w:fldCharType="begin"/>
                    </w:r>
                    <w:r w:rsidR="000F1CF7">
                      <w:instrText xml:space="preserve"> PAGE   \* MERGEFORMAT </w:instrText>
                    </w:r>
                    <w:r>
                      <w:fldChar w:fldCharType="separate"/>
                    </w:r>
                    <w:r w:rsidR="00A07CD5">
                      <w:rPr>
                        <w:noProof/>
                      </w:rPr>
                      <w:t>- 1 -</w:t>
                    </w:r>
                    <w:r>
                      <w:fldChar w:fldCharType="end"/>
                    </w:r>
                  </w:p>
                  <w:p w:rsidR="007D5B8B" w:rsidRDefault="007D5B8B"/>
                </w:txbxContent>
              </v:textbox>
              <w10:wrap anchorx="margin"/>
            </v:shape>
          </w:pict>
        </mc:Fallback>
      </mc:AlternateContent>
    </w:r>
    <w:r w:rsidR="000F1CF7">
      <w:tab/>
    </w:r>
  </w:p>
  <w:p w:rsidR="007D5B8B" w:rsidRDefault="007D5B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DA" w:rsidRDefault="00507CDA" w:rsidP="007D5B8B">
      <w:r>
        <w:separator/>
      </w:r>
    </w:p>
  </w:footnote>
  <w:footnote w:type="continuationSeparator" w:id="0">
    <w:p w:rsidR="00507CDA" w:rsidRDefault="00507CDA" w:rsidP="007D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55E22"/>
    <w:rsid w:val="000427A3"/>
    <w:rsid w:val="00085228"/>
    <w:rsid w:val="000F1CF7"/>
    <w:rsid w:val="00170C9E"/>
    <w:rsid w:val="001A544B"/>
    <w:rsid w:val="00221B57"/>
    <w:rsid w:val="00266343"/>
    <w:rsid w:val="002721C6"/>
    <w:rsid w:val="002D7B00"/>
    <w:rsid w:val="003503F3"/>
    <w:rsid w:val="00363987"/>
    <w:rsid w:val="00364500"/>
    <w:rsid w:val="003836BF"/>
    <w:rsid w:val="00395C13"/>
    <w:rsid w:val="00445D8D"/>
    <w:rsid w:val="004C1CE7"/>
    <w:rsid w:val="004F2AAA"/>
    <w:rsid w:val="00507CDA"/>
    <w:rsid w:val="0052706E"/>
    <w:rsid w:val="005547AD"/>
    <w:rsid w:val="0056351F"/>
    <w:rsid w:val="005C1F40"/>
    <w:rsid w:val="005D468D"/>
    <w:rsid w:val="006361B4"/>
    <w:rsid w:val="00671E1B"/>
    <w:rsid w:val="006C72A9"/>
    <w:rsid w:val="007527AD"/>
    <w:rsid w:val="00792D57"/>
    <w:rsid w:val="007A1FB9"/>
    <w:rsid w:val="007C3310"/>
    <w:rsid w:val="007D5B8B"/>
    <w:rsid w:val="008359DB"/>
    <w:rsid w:val="008F6A4B"/>
    <w:rsid w:val="00A07CD5"/>
    <w:rsid w:val="00A47129"/>
    <w:rsid w:val="00AC1E3F"/>
    <w:rsid w:val="00B33C9C"/>
    <w:rsid w:val="00B51340"/>
    <w:rsid w:val="00B83CCB"/>
    <w:rsid w:val="00BA4175"/>
    <w:rsid w:val="00BA701C"/>
    <w:rsid w:val="00BD6EE7"/>
    <w:rsid w:val="00CC4C9B"/>
    <w:rsid w:val="00D65191"/>
    <w:rsid w:val="00E75796"/>
    <w:rsid w:val="00EC4852"/>
    <w:rsid w:val="00F12D51"/>
    <w:rsid w:val="00F5477D"/>
    <w:rsid w:val="00FB1788"/>
    <w:rsid w:val="00FE12A9"/>
    <w:rsid w:val="0A684FB8"/>
    <w:rsid w:val="0DED7056"/>
    <w:rsid w:val="0F397103"/>
    <w:rsid w:val="13B555BA"/>
    <w:rsid w:val="2014565C"/>
    <w:rsid w:val="22AB60BB"/>
    <w:rsid w:val="24BB430D"/>
    <w:rsid w:val="2E0B4D62"/>
    <w:rsid w:val="2EAA7867"/>
    <w:rsid w:val="2FA4091D"/>
    <w:rsid w:val="2FDA4317"/>
    <w:rsid w:val="31056617"/>
    <w:rsid w:val="321724ED"/>
    <w:rsid w:val="32C9102C"/>
    <w:rsid w:val="34001392"/>
    <w:rsid w:val="34B16A9C"/>
    <w:rsid w:val="42824796"/>
    <w:rsid w:val="43F43B77"/>
    <w:rsid w:val="44194DB5"/>
    <w:rsid w:val="44367539"/>
    <w:rsid w:val="4560666D"/>
    <w:rsid w:val="4FE106C8"/>
    <w:rsid w:val="53052047"/>
    <w:rsid w:val="581967DD"/>
    <w:rsid w:val="60EC03F9"/>
    <w:rsid w:val="67D7761E"/>
    <w:rsid w:val="6DB66DFC"/>
    <w:rsid w:val="6F555E22"/>
    <w:rsid w:val="75985A0B"/>
    <w:rsid w:val="7680235C"/>
    <w:rsid w:val="78050D5D"/>
    <w:rsid w:val="7A5572C0"/>
    <w:rsid w:val="7BED4B8E"/>
    <w:rsid w:val="7ED22CBE"/>
    <w:rsid w:val="7F101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441077-4DF3-4FF6-98D0-32D97FF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B8B"/>
    <w:pPr>
      <w:widowControl w:val="0"/>
      <w:jc w:val="both"/>
    </w:pPr>
    <w:rPr>
      <w:rFonts w:eastAsia="仿宋_GB2312"/>
      <w:kern w:val="2"/>
      <w:sz w:val="32"/>
      <w:szCs w:val="32"/>
    </w:rPr>
  </w:style>
  <w:style w:type="paragraph" w:styleId="1">
    <w:name w:val="heading 1"/>
    <w:basedOn w:val="a"/>
    <w:next w:val="a"/>
    <w:uiPriority w:val="99"/>
    <w:qFormat/>
    <w:rsid w:val="007D5B8B"/>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7D5B8B"/>
    <w:pPr>
      <w:adjustRightInd w:val="0"/>
      <w:spacing w:before="152" w:after="160"/>
      <w:textAlignment w:val="baseline"/>
    </w:pPr>
    <w:rPr>
      <w:rFonts w:ascii="Arial" w:eastAsia="黑体" w:hAnsi="Arial" w:cs="Arial"/>
      <w:sz w:val="21"/>
      <w:szCs w:val="21"/>
    </w:rPr>
  </w:style>
  <w:style w:type="paragraph" w:styleId="a4">
    <w:name w:val="Body Text"/>
    <w:basedOn w:val="a"/>
    <w:qFormat/>
    <w:rsid w:val="007D5B8B"/>
    <w:rPr>
      <w:sz w:val="28"/>
    </w:rPr>
  </w:style>
  <w:style w:type="paragraph" w:styleId="a5">
    <w:name w:val="footer"/>
    <w:basedOn w:val="a"/>
    <w:uiPriority w:val="99"/>
    <w:qFormat/>
    <w:rsid w:val="007D5B8B"/>
    <w:pPr>
      <w:tabs>
        <w:tab w:val="center" w:pos="4153"/>
        <w:tab w:val="right" w:pos="8306"/>
      </w:tabs>
      <w:snapToGrid w:val="0"/>
      <w:jc w:val="left"/>
    </w:pPr>
    <w:rPr>
      <w:rFonts w:eastAsia="宋体"/>
      <w:sz w:val="18"/>
      <w:szCs w:val="18"/>
    </w:rPr>
  </w:style>
  <w:style w:type="paragraph" w:styleId="a6">
    <w:name w:val="header"/>
    <w:basedOn w:val="a"/>
    <w:link w:val="Char"/>
    <w:qFormat/>
    <w:rsid w:val="007D5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qFormat/>
    <w:rsid w:val="007D5B8B"/>
    <w:rPr>
      <w:rFonts w:eastAsia="仿宋_GB2312"/>
      <w:kern w:val="2"/>
      <w:sz w:val="18"/>
      <w:szCs w:val="18"/>
    </w:rPr>
  </w:style>
  <w:style w:type="character" w:customStyle="1" w:styleId="font11">
    <w:name w:val="font11"/>
    <w:basedOn w:val="a0"/>
    <w:qFormat/>
    <w:rsid w:val="007D5B8B"/>
    <w:rPr>
      <w:rFonts w:ascii="宋体" w:eastAsia="宋体" w:hAnsi="宋体" w:cs="宋体" w:hint="eastAsia"/>
      <w:color w:val="000000"/>
      <w:sz w:val="20"/>
      <w:szCs w:val="20"/>
      <w:u w:val="none"/>
    </w:rPr>
  </w:style>
  <w:style w:type="character" w:customStyle="1" w:styleId="font21">
    <w:name w:val="font21"/>
    <w:basedOn w:val="a0"/>
    <w:qFormat/>
    <w:rsid w:val="007D5B8B"/>
    <w:rPr>
      <w:rFonts w:ascii="宋体" w:eastAsia="宋体" w:hAnsi="宋体" w:cs="宋体" w:hint="eastAsia"/>
      <w:b/>
      <w:color w:val="000000"/>
      <w:sz w:val="20"/>
      <w:szCs w:val="20"/>
      <w:u w:val="none"/>
    </w:rPr>
  </w:style>
  <w:style w:type="character" w:styleId="a7">
    <w:name w:val="Hyperlink"/>
    <w:basedOn w:val="a0"/>
    <w:unhideWhenUsed/>
    <w:rsid w:val="002D7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F04B-6FCA-4223-AA04-38E7B198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Company>Lenovo</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刘韬</dc:creator>
  <cp:lastModifiedBy>郑文兵</cp:lastModifiedBy>
  <cp:revision>2</cp:revision>
  <cp:lastPrinted>2020-03-09T08:39:00Z</cp:lastPrinted>
  <dcterms:created xsi:type="dcterms:W3CDTF">2021-04-01T09:57:00Z</dcterms:created>
  <dcterms:modified xsi:type="dcterms:W3CDTF">2021-04-01T09:57:00Z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